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D49F8" w14:textId="5A756521" w:rsidR="009503C4" w:rsidRPr="00B266B0" w:rsidRDefault="009503C4" w:rsidP="009503C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C45102">
        <w:rPr>
          <w:bCs/>
          <w:noProof w:val="0"/>
          <w:sz w:val="24"/>
          <w:szCs w:val="24"/>
        </w:rPr>
        <w:t>18</w:t>
      </w:r>
      <w:r w:rsidR="00C45102" w:rsidRPr="00C45102">
        <w:rPr>
          <w:bCs/>
          <w:noProof w:val="0"/>
          <w:sz w:val="24"/>
          <w:szCs w:val="24"/>
        </w:rPr>
        <w:t>12109</w:t>
      </w:r>
    </w:p>
    <w:p w14:paraId="72FBAC5F" w14:textId="1FA5ADB1" w:rsidR="009503C4" w:rsidRPr="00B266B0" w:rsidRDefault="009503C4" w:rsidP="009503C4">
      <w:pPr>
        <w:pStyle w:val="Header"/>
        <w:tabs>
          <w:tab w:val="right" w:pos="9639"/>
        </w:tabs>
        <w:rPr>
          <w:bCs/>
          <w:noProof w:val="0"/>
          <w:sz w:val="24"/>
          <w:szCs w:val="24"/>
        </w:rPr>
      </w:pPr>
      <w:r>
        <w:rPr>
          <w:rFonts w:eastAsia="SimSun"/>
          <w:noProof w:val="0"/>
          <w:sz w:val="24"/>
          <w:szCs w:val="24"/>
          <w:lang w:eastAsia="zh-CN"/>
        </w:rPr>
        <w:t>Gothenburg, Sweden, 20 - 24 August</w:t>
      </w:r>
      <w:r w:rsidRPr="002610D8">
        <w:rPr>
          <w:rFonts w:eastAsia="SimSun"/>
          <w:noProof w:val="0"/>
          <w:sz w:val="24"/>
          <w:szCs w:val="24"/>
          <w:lang w:eastAsia="zh-CN"/>
        </w:rPr>
        <w:t xml:space="preserve"> 2018</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598A1F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6691" w:rsidRPr="00B56691">
        <w:rPr>
          <w:rFonts w:cs="Arial"/>
          <w:b/>
          <w:bCs/>
          <w:sz w:val="24"/>
        </w:rPr>
        <w:t>10.3.1.4.2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35A132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1FF0">
        <w:rPr>
          <w:rFonts w:ascii="Arial" w:hAnsi="Arial" w:cs="Arial"/>
          <w:b/>
          <w:bCs/>
          <w:sz w:val="24"/>
        </w:rPr>
        <w:t>Solutions for the Msg3 issue</w:t>
      </w:r>
      <w:r w:rsidR="0039351C">
        <w:rPr>
          <w:rFonts w:ascii="Arial" w:hAnsi="Arial" w:cs="Arial"/>
          <w:b/>
          <w:bCs/>
          <w:sz w:val="24"/>
        </w:rPr>
        <w:t xml:space="preserve"> when s</w:t>
      </w:r>
      <w:r w:rsidR="00366AB7">
        <w:rPr>
          <w:rFonts w:ascii="Arial" w:hAnsi="Arial" w:cs="Arial"/>
          <w:b/>
          <w:bCs/>
          <w:sz w:val="24"/>
        </w:rPr>
        <w:t>witching from CBRA to CFRA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30D2BE8" w:rsidR="00CD4C7B" w:rsidRDefault="00B56691" w:rsidP="00CD4C7B">
      <w:r>
        <w:t>In</w:t>
      </w:r>
      <w:r w:rsidR="00366AB7">
        <w:t xml:space="preserve"> the previous RAN2#</w:t>
      </w:r>
      <w:r w:rsidR="003A71A8">
        <w:t>AH-1807</w:t>
      </w:r>
      <w:r w:rsidR="00366AB7">
        <w:t xml:space="preserve"> meeting, the issue of switching from CBRA (Contention Based Random Access) to CFRA (Contention Free Random Access) during a single RA</w:t>
      </w:r>
      <w:r w:rsidR="00894444">
        <w:t xml:space="preserve"> (Random Access)</w:t>
      </w:r>
      <w:r w:rsidR="00366AB7">
        <w:t xml:space="preserve"> procedure was discussed:</w:t>
      </w:r>
    </w:p>
    <w:p w14:paraId="084B9AEF" w14:textId="43242F00" w:rsidR="003A71A8" w:rsidRPr="003A71A8" w:rsidRDefault="00C45102" w:rsidP="003A71A8">
      <w:pPr>
        <w:pStyle w:val="Doc-title"/>
        <w:ind w:left="1543"/>
        <w:rPr>
          <w:i/>
        </w:rPr>
      </w:pPr>
      <w:hyperlink r:id="rId12" w:tooltip="D:Documents3GPPtsg_ranWG2RAN2DocsR2-1810157.zip" w:history="1">
        <w:r w:rsidR="003A71A8" w:rsidRPr="003A71A8">
          <w:rPr>
            <w:rStyle w:val="Hyperlink"/>
            <w:i/>
          </w:rPr>
          <w:t>R2-1810157</w:t>
        </w:r>
      </w:hyperlink>
      <w:r w:rsidR="003A71A8" w:rsidRPr="003A71A8">
        <w:rPr>
          <w:i/>
        </w:rPr>
        <w:tab/>
        <w:t>Msg3 handling when switching from CBRA to CFRA</w:t>
      </w:r>
      <w:r w:rsidR="003A71A8" w:rsidRPr="003A71A8">
        <w:rPr>
          <w:i/>
        </w:rPr>
        <w:tab/>
        <w:t>Nokia, Nokia Shanghai Bell</w:t>
      </w:r>
      <w:r w:rsidR="003A71A8" w:rsidRPr="003A71A8">
        <w:rPr>
          <w:i/>
        </w:rPr>
        <w:tab/>
        <w:t>discussion</w:t>
      </w:r>
      <w:r w:rsidR="003A71A8" w:rsidRPr="003A71A8">
        <w:rPr>
          <w:i/>
        </w:rPr>
        <w:tab/>
        <w:t>Rel-15</w:t>
      </w:r>
      <w:r w:rsidR="003A71A8" w:rsidRPr="003A71A8">
        <w:rPr>
          <w:i/>
        </w:rPr>
        <w:tab/>
        <w:t>NR_newRAT</w:t>
      </w:r>
    </w:p>
    <w:p w14:paraId="57838609" w14:textId="77777777" w:rsidR="003A71A8" w:rsidRPr="003A71A8" w:rsidRDefault="003A71A8" w:rsidP="003A71A8">
      <w:pPr>
        <w:pStyle w:val="Agreement"/>
        <w:tabs>
          <w:tab w:val="clear" w:pos="1619"/>
          <w:tab w:val="num" w:pos="1724"/>
        </w:tabs>
        <w:overflowPunct/>
        <w:autoSpaceDE/>
        <w:autoSpaceDN/>
        <w:adjustRightInd/>
        <w:spacing w:after="0"/>
        <w:ind w:left="1724"/>
        <w:textAlignment w:val="auto"/>
        <w:rPr>
          <w:i/>
        </w:rPr>
      </w:pPr>
      <w:r w:rsidRPr="003A71A8">
        <w:rPr>
          <w:i/>
        </w:rPr>
        <w:t>Noted</w:t>
      </w:r>
    </w:p>
    <w:p w14:paraId="6BB9DE7C" w14:textId="77777777" w:rsidR="003A71A8" w:rsidRPr="003A71A8" w:rsidRDefault="003A71A8" w:rsidP="003A71A8">
      <w:pPr>
        <w:pStyle w:val="Doc-text2"/>
        <w:ind w:left="1906"/>
        <w:rPr>
          <w:i/>
        </w:rPr>
      </w:pPr>
    </w:p>
    <w:p w14:paraId="5499255F" w14:textId="7666208C" w:rsidR="003A71A8" w:rsidRPr="003A71A8" w:rsidRDefault="00C45102" w:rsidP="003A71A8">
      <w:pPr>
        <w:pStyle w:val="Doc-title"/>
        <w:ind w:left="1543"/>
        <w:rPr>
          <w:i/>
        </w:rPr>
      </w:pPr>
      <w:hyperlink r:id="rId13" w:tooltip="D:Documents3GPPtsg_ranWG2RAN2DocsR2-1810158.zip" w:history="1">
        <w:r w:rsidR="003A71A8" w:rsidRPr="003A71A8">
          <w:rPr>
            <w:rStyle w:val="Hyperlink"/>
            <w:i/>
          </w:rPr>
          <w:t>R2-1810158</w:t>
        </w:r>
      </w:hyperlink>
      <w:r w:rsidR="003A71A8" w:rsidRPr="003A71A8">
        <w:rPr>
          <w:i/>
        </w:rPr>
        <w:tab/>
        <w:t>Correction to preamble group selection for CBRA</w:t>
      </w:r>
      <w:r w:rsidR="003A71A8" w:rsidRPr="003A71A8">
        <w:rPr>
          <w:i/>
        </w:rPr>
        <w:tab/>
        <w:t>Nokia, Nokia Shanghai Bell</w:t>
      </w:r>
      <w:r w:rsidR="003A71A8" w:rsidRPr="003A71A8">
        <w:rPr>
          <w:i/>
        </w:rPr>
        <w:tab/>
        <w:t>CR</w:t>
      </w:r>
      <w:r w:rsidR="003A71A8" w:rsidRPr="003A71A8">
        <w:rPr>
          <w:i/>
        </w:rPr>
        <w:tab/>
        <w:t>Rel-15</w:t>
      </w:r>
      <w:r w:rsidR="003A71A8" w:rsidRPr="003A71A8">
        <w:rPr>
          <w:i/>
        </w:rPr>
        <w:tab/>
        <w:t>38.321</w:t>
      </w:r>
      <w:r w:rsidR="003A71A8" w:rsidRPr="003A71A8">
        <w:rPr>
          <w:i/>
        </w:rPr>
        <w:tab/>
        <w:t>15.2.0</w:t>
      </w:r>
      <w:r w:rsidR="003A71A8" w:rsidRPr="003A71A8">
        <w:rPr>
          <w:i/>
        </w:rPr>
        <w:tab/>
        <w:t>0247</w:t>
      </w:r>
      <w:r w:rsidR="003A71A8" w:rsidRPr="003A71A8">
        <w:rPr>
          <w:i/>
        </w:rPr>
        <w:tab/>
        <w:t>-</w:t>
      </w:r>
      <w:r w:rsidR="003A71A8" w:rsidRPr="003A71A8">
        <w:rPr>
          <w:i/>
        </w:rPr>
        <w:tab/>
        <w:t>F</w:t>
      </w:r>
      <w:r w:rsidR="003A71A8" w:rsidRPr="003A71A8">
        <w:rPr>
          <w:i/>
        </w:rPr>
        <w:tab/>
        <w:t>NR_newRAT</w:t>
      </w:r>
    </w:p>
    <w:p w14:paraId="123B7DC3" w14:textId="77777777" w:rsidR="003A71A8" w:rsidRPr="003A71A8" w:rsidRDefault="003A71A8" w:rsidP="003A71A8">
      <w:pPr>
        <w:pStyle w:val="Agreement"/>
        <w:tabs>
          <w:tab w:val="clear" w:pos="1619"/>
          <w:tab w:val="num" w:pos="1724"/>
        </w:tabs>
        <w:overflowPunct/>
        <w:autoSpaceDE/>
        <w:autoSpaceDN/>
        <w:adjustRightInd/>
        <w:spacing w:after="0"/>
        <w:ind w:left="1724"/>
        <w:textAlignment w:val="auto"/>
        <w:rPr>
          <w:i/>
        </w:rPr>
      </w:pPr>
      <w:r w:rsidRPr="003A71A8">
        <w:rPr>
          <w:i/>
        </w:rPr>
        <w:t>Postponed</w:t>
      </w:r>
    </w:p>
    <w:p w14:paraId="0F5469ED" w14:textId="77777777" w:rsidR="003A71A8" w:rsidRPr="003A71A8" w:rsidRDefault="003A71A8" w:rsidP="003A71A8">
      <w:pPr>
        <w:pStyle w:val="Doc-text2"/>
        <w:ind w:left="1906"/>
        <w:rPr>
          <w:i/>
        </w:rPr>
      </w:pPr>
    </w:p>
    <w:p w14:paraId="34705289" w14:textId="7E1B4B86" w:rsidR="003A71A8" w:rsidRPr="003A71A8" w:rsidRDefault="00C45102" w:rsidP="003A71A8">
      <w:pPr>
        <w:pStyle w:val="Doc-title"/>
        <w:ind w:left="1543"/>
        <w:rPr>
          <w:i/>
        </w:rPr>
      </w:pPr>
      <w:hyperlink r:id="rId14" w:tooltip="D:Documents3GPPtsg_ranWG2RAN2DocsR2-1810084.zip" w:history="1">
        <w:r w:rsidR="003A71A8" w:rsidRPr="003A71A8">
          <w:rPr>
            <w:rStyle w:val="Hyperlink"/>
            <w:i/>
          </w:rPr>
          <w:t>R2-1810084</w:t>
        </w:r>
      </w:hyperlink>
      <w:r w:rsidR="003A71A8" w:rsidRPr="003A71A8">
        <w:rPr>
          <w:i/>
        </w:rPr>
        <w:tab/>
        <w:t>UE switch from CBRA to CFRA and possible issues</w:t>
      </w:r>
      <w:r w:rsidR="003A71A8" w:rsidRPr="003A71A8">
        <w:rPr>
          <w:i/>
        </w:rPr>
        <w:tab/>
        <w:t>Ericsson</w:t>
      </w:r>
      <w:r w:rsidR="003A71A8" w:rsidRPr="003A71A8">
        <w:rPr>
          <w:i/>
        </w:rPr>
        <w:tab/>
        <w:t>discussion</w:t>
      </w:r>
      <w:r w:rsidR="003A71A8" w:rsidRPr="003A71A8">
        <w:rPr>
          <w:i/>
        </w:rPr>
        <w:tab/>
        <w:t>Rel-15</w:t>
      </w:r>
      <w:r w:rsidR="003A71A8" w:rsidRPr="003A71A8">
        <w:rPr>
          <w:i/>
        </w:rPr>
        <w:tab/>
        <w:t>NR_newRAT-Core</w:t>
      </w:r>
    </w:p>
    <w:p w14:paraId="541B1667" w14:textId="77777777" w:rsidR="003A71A8" w:rsidRPr="003A71A8" w:rsidRDefault="003A71A8" w:rsidP="003A71A8">
      <w:pPr>
        <w:pStyle w:val="Comments"/>
        <w:ind w:left="284"/>
      </w:pPr>
      <w:r w:rsidRPr="003A71A8">
        <w:t>Moved here</w:t>
      </w:r>
    </w:p>
    <w:p w14:paraId="2E3755F2" w14:textId="77777777" w:rsidR="003A71A8" w:rsidRPr="003A71A8" w:rsidRDefault="003A71A8" w:rsidP="003A71A8">
      <w:pPr>
        <w:pStyle w:val="Agreement"/>
        <w:tabs>
          <w:tab w:val="clear" w:pos="1619"/>
          <w:tab w:val="num" w:pos="1724"/>
        </w:tabs>
        <w:overflowPunct/>
        <w:autoSpaceDE/>
        <w:autoSpaceDN/>
        <w:adjustRightInd/>
        <w:spacing w:after="0"/>
        <w:ind w:left="1724"/>
        <w:textAlignment w:val="auto"/>
        <w:rPr>
          <w:i/>
        </w:rPr>
      </w:pPr>
      <w:r w:rsidRPr="003A71A8">
        <w:rPr>
          <w:i/>
        </w:rPr>
        <w:t>Noted</w:t>
      </w:r>
    </w:p>
    <w:p w14:paraId="1BE8E74E" w14:textId="77777777" w:rsidR="003A71A8" w:rsidRPr="003A71A8" w:rsidRDefault="003A71A8" w:rsidP="003A71A8">
      <w:pPr>
        <w:pStyle w:val="Doc-text2"/>
        <w:ind w:left="1906"/>
        <w:rPr>
          <w:i/>
        </w:rPr>
      </w:pPr>
    </w:p>
    <w:p w14:paraId="50FE4C43" w14:textId="77777777" w:rsidR="003A71A8" w:rsidRPr="003A71A8" w:rsidRDefault="003A71A8" w:rsidP="003A71A8">
      <w:pPr>
        <w:pStyle w:val="Doc-text2"/>
        <w:ind w:left="1906"/>
        <w:rPr>
          <w:i/>
          <w:lang w:val="en-US"/>
        </w:rPr>
      </w:pPr>
      <w:r w:rsidRPr="003A71A8">
        <w:rPr>
          <w:i/>
          <w:lang w:val="en-US"/>
        </w:rPr>
        <w:t>DISCSUSSION on 3 papers above</w:t>
      </w:r>
    </w:p>
    <w:p w14:paraId="46C097A2" w14:textId="77777777" w:rsidR="003A71A8" w:rsidRPr="003A71A8" w:rsidRDefault="003A71A8" w:rsidP="003A71A8">
      <w:pPr>
        <w:pStyle w:val="Doc-text2"/>
        <w:numPr>
          <w:ilvl w:val="0"/>
          <w:numId w:val="7"/>
        </w:numPr>
        <w:overflowPunct/>
        <w:autoSpaceDE/>
        <w:autoSpaceDN/>
        <w:adjustRightInd/>
        <w:ind w:left="1903"/>
        <w:textAlignment w:val="auto"/>
        <w:rPr>
          <w:i/>
          <w:lang w:val="en-US"/>
        </w:rPr>
      </w:pPr>
      <w:r w:rsidRPr="003A71A8">
        <w:rPr>
          <w:i/>
          <w:lang w:val="en-US"/>
        </w:rPr>
        <w:t xml:space="preserve">Samsung think the issue is there, and the UE should rebuild the MAC PDU in all cases. </w:t>
      </w:r>
    </w:p>
    <w:p w14:paraId="6585EDE7" w14:textId="77777777" w:rsidR="003A71A8" w:rsidRPr="003A71A8" w:rsidRDefault="003A71A8" w:rsidP="003A71A8">
      <w:pPr>
        <w:pStyle w:val="Doc-text2"/>
        <w:numPr>
          <w:ilvl w:val="0"/>
          <w:numId w:val="7"/>
        </w:numPr>
        <w:overflowPunct/>
        <w:autoSpaceDE/>
        <w:autoSpaceDN/>
        <w:adjustRightInd/>
        <w:ind w:left="1903"/>
        <w:textAlignment w:val="auto"/>
        <w:rPr>
          <w:i/>
          <w:lang w:val="en-US"/>
        </w:rPr>
      </w:pPr>
      <w:r w:rsidRPr="003A71A8">
        <w:rPr>
          <w:i/>
          <w:lang w:val="en-US"/>
        </w:rPr>
        <w:t xml:space="preserve">Lenovo think the Nokia solution is simpler. </w:t>
      </w:r>
    </w:p>
    <w:p w14:paraId="5E049EC4" w14:textId="77777777" w:rsidR="003A71A8" w:rsidRPr="003A71A8" w:rsidRDefault="003A71A8" w:rsidP="003A71A8">
      <w:pPr>
        <w:pStyle w:val="Doc-text2"/>
        <w:numPr>
          <w:ilvl w:val="0"/>
          <w:numId w:val="7"/>
        </w:numPr>
        <w:overflowPunct/>
        <w:autoSpaceDE/>
        <w:autoSpaceDN/>
        <w:adjustRightInd/>
        <w:ind w:left="1903"/>
        <w:textAlignment w:val="auto"/>
        <w:rPr>
          <w:i/>
          <w:lang w:val="en-US"/>
        </w:rPr>
      </w:pPr>
      <w:r w:rsidRPr="003A71A8">
        <w:rPr>
          <w:i/>
          <w:lang w:val="en-US"/>
        </w:rPr>
        <w:t>ASUStek think that it is not good to restrict preamble group A</w:t>
      </w:r>
    </w:p>
    <w:p w14:paraId="724BBBF6" w14:textId="77777777" w:rsidR="003A71A8" w:rsidRPr="003A71A8" w:rsidRDefault="003A71A8" w:rsidP="003A71A8">
      <w:pPr>
        <w:pStyle w:val="Doc-text2"/>
        <w:numPr>
          <w:ilvl w:val="0"/>
          <w:numId w:val="7"/>
        </w:numPr>
        <w:overflowPunct/>
        <w:autoSpaceDE/>
        <w:autoSpaceDN/>
        <w:adjustRightInd/>
        <w:ind w:left="1903"/>
        <w:textAlignment w:val="auto"/>
        <w:rPr>
          <w:i/>
          <w:lang w:val="en-US"/>
        </w:rPr>
      </w:pPr>
      <w:r w:rsidRPr="003A71A8">
        <w:rPr>
          <w:i/>
          <w:lang w:val="en-US"/>
        </w:rPr>
        <w:t xml:space="preserve">CATT also think that the UE should rebuild the MAC PDU. </w:t>
      </w:r>
    </w:p>
    <w:p w14:paraId="5E76C8BF" w14:textId="77777777" w:rsidR="003A71A8" w:rsidRPr="003A71A8" w:rsidRDefault="003A71A8" w:rsidP="003A71A8">
      <w:pPr>
        <w:pStyle w:val="Doc-text2"/>
        <w:numPr>
          <w:ilvl w:val="0"/>
          <w:numId w:val="7"/>
        </w:numPr>
        <w:overflowPunct/>
        <w:autoSpaceDE/>
        <w:autoSpaceDN/>
        <w:adjustRightInd/>
        <w:ind w:left="1903"/>
        <w:textAlignment w:val="auto"/>
        <w:rPr>
          <w:i/>
          <w:lang w:val="en-US"/>
        </w:rPr>
      </w:pPr>
      <w:r w:rsidRPr="003A71A8">
        <w:rPr>
          <w:i/>
          <w:lang w:val="en-US"/>
        </w:rPr>
        <w:t xml:space="preserve">Ericsson think that the Nokia solution means that for CFRA the grant size would always need to be the same as for CBRA group A, which is a serious restriction. Nokia agrees this is the consequence. </w:t>
      </w:r>
    </w:p>
    <w:p w14:paraId="0E00354F" w14:textId="77777777" w:rsidR="003A71A8" w:rsidRPr="003A71A8" w:rsidRDefault="003A71A8" w:rsidP="003A71A8">
      <w:pPr>
        <w:pStyle w:val="Doc-text2"/>
        <w:numPr>
          <w:ilvl w:val="0"/>
          <w:numId w:val="7"/>
        </w:numPr>
        <w:overflowPunct/>
        <w:autoSpaceDE/>
        <w:autoSpaceDN/>
        <w:adjustRightInd/>
        <w:ind w:left="1903"/>
        <w:textAlignment w:val="auto"/>
        <w:rPr>
          <w:i/>
          <w:lang w:val="en-US"/>
        </w:rPr>
      </w:pPr>
      <w:r w:rsidRPr="003A71A8">
        <w:rPr>
          <w:i/>
          <w:lang w:val="en-US"/>
        </w:rPr>
        <w:t xml:space="preserve">LG wonders if the Nokia solution really works, as CBRA grant for group A doesn’t need to be one and the same. </w:t>
      </w:r>
    </w:p>
    <w:p w14:paraId="3909DD15" w14:textId="77777777" w:rsidR="003A71A8" w:rsidRPr="003A71A8" w:rsidRDefault="003A71A8" w:rsidP="003A71A8">
      <w:pPr>
        <w:pStyle w:val="Doc-text2"/>
        <w:numPr>
          <w:ilvl w:val="0"/>
          <w:numId w:val="7"/>
        </w:numPr>
        <w:overflowPunct/>
        <w:autoSpaceDE/>
        <w:autoSpaceDN/>
        <w:adjustRightInd/>
        <w:ind w:left="1903"/>
        <w:textAlignment w:val="auto"/>
        <w:rPr>
          <w:i/>
          <w:lang w:val="en-US"/>
        </w:rPr>
      </w:pPr>
      <w:r w:rsidRPr="003A71A8">
        <w:rPr>
          <w:i/>
          <w:lang w:val="en-US"/>
        </w:rPr>
        <w:t xml:space="preserve">ASUStek wonders if rebuild of the MAC PDU is a new behavior. </w:t>
      </w:r>
    </w:p>
    <w:p w14:paraId="4A73501C" w14:textId="77777777" w:rsidR="003A71A8" w:rsidRPr="003A71A8" w:rsidRDefault="003A71A8" w:rsidP="003A71A8">
      <w:pPr>
        <w:pStyle w:val="Doc-text2"/>
        <w:numPr>
          <w:ilvl w:val="0"/>
          <w:numId w:val="7"/>
        </w:numPr>
        <w:overflowPunct/>
        <w:autoSpaceDE/>
        <w:autoSpaceDN/>
        <w:adjustRightInd/>
        <w:ind w:left="1903"/>
        <w:textAlignment w:val="auto"/>
        <w:rPr>
          <w:i/>
          <w:lang w:val="en-US"/>
        </w:rPr>
      </w:pPr>
      <w:r w:rsidRPr="003A71A8">
        <w:rPr>
          <w:i/>
          <w:lang w:val="en-US"/>
        </w:rPr>
        <w:t xml:space="preserve">Google think that if the PDU is rebuilt, LCP etc need to be redone, and don’t understand how that can work. </w:t>
      </w:r>
    </w:p>
    <w:p w14:paraId="44D52813" w14:textId="77777777" w:rsidR="003A71A8" w:rsidRPr="003A71A8" w:rsidRDefault="003A71A8" w:rsidP="003A71A8">
      <w:pPr>
        <w:pStyle w:val="Doc-text2"/>
        <w:numPr>
          <w:ilvl w:val="0"/>
          <w:numId w:val="7"/>
        </w:numPr>
        <w:overflowPunct/>
        <w:autoSpaceDE/>
        <w:autoSpaceDN/>
        <w:adjustRightInd/>
        <w:ind w:left="1903"/>
        <w:textAlignment w:val="auto"/>
        <w:rPr>
          <w:i/>
          <w:lang w:val="en-US"/>
        </w:rPr>
      </w:pPr>
      <w:r w:rsidRPr="003A71A8">
        <w:rPr>
          <w:i/>
          <w:lang w:val="en-US"/>
        </w:rPr>
        <w:t>Leonovo think that we should not loose that data.</w:t>
      </w:r>
    </w:p>
    <w:p w14:paraId="406F3BF1" w14:textId="77777777" w:rsidR="003A71A8" w:rsidRPr="003A71A8" w:rsidRDefault="003A71A8" w:rsidP="003A71A8">
      <w:pPr>
        <w:pStyle w:val="Doc-text2"/>
        <w:numPr>
          <w:ilvl w:val="0"/>
          <w:numId w:val="7"/>
        </w:numPr>
        <w:overflowPunct/>
        <w:autoSpaceDE/>
        <w:autoSpaceDN/>
        <w:adjustRightInd/>
        <w:ind w:left="1903"/>
        <w:textAlignment w:val="auto"/>
        <w:rPr>
          <w:i/>
          <w:lang w:val="en-US"/>
        </w:rPr>
      </w:pPr>
      <w:r w:rsidRPr="003A71A8">
        <w:rPr>
          <w:i/>
          <w:lang w:val="en-US"/>
        </w:rPr>
        <w:t xml:space="preserve">ASUStek think that also for Beam Failure, MSG3 data will be lost. </w:t>
      </w:r>
    </w:p>
    <w:p w14:paraId="065B5AA1" w14:textId="77777777" w:rsidR="003A71A8" w:rsidRPr="003A71A8" w:rsidRDefault="003A71A8" w:rsidP="003A71A8">
      <w:pPr>
        <w:pStyle w:val="Doc-text2"/>
        <w:numPr>
          <w:ilvl w:val="0"/>
          <w:numId w:val="7"/>
        </w:numPr>
        <w:overflowPunct/>
        <w:autoSpaceDE/>
        <w:autoSpaceDN/>
        <w:adjustRightInd/>
        <w:ind w:left="1903"/>
        <w:textAlignment w:val="auto"/>
        <w:rPr>
          <w:i/>
          <w:lang w:val="en-US"/>
        </w:rPr>
      </w:pPr>
      <w:r w:rsidRPr="003A71A8">
        <w:rPr>
          <w:i/>
          <w:lang w:val="en-US"/>
        </w:rPr>
        <w:t xml:space="preserve">Chair: there seems to be support to not lose the data at CFRA/CBRA switch, but not how to do this. </w:t>
      </w:r>
    </w:p>
    <w:p w14:paraId="79B0904D" w14:textId="77777777" w:rsidR="003A71A8" w:rsidRPr="00246BAE" w:rsidRDefault="003A71A8" w:rsidP="003A71A8">
      <w:pPr>
        <w:pStyle w:val="Agreement"/>
        <w:tabs>
          <w:tab w:val="clear" w:pos="1619"/>
          <w:tab w:val="num" w:pos="1724"/>
        </w:tabs>
        <w:overflowPunct/>
        <w:autoSpaceDE/>
        <w:autoSpaceDN/>
        <w:adjustRightInd/>
        <w:spacing w:after="0"/>
        <w:ind w:left="1724"/>
        <w:textAlignment w:val="auto"/>
        <w:rPr>
          <w:lang w:val="en-US"/>
        </w:rPr>
      </w:pPr>
      <w:r w:rsidRPr="003A71A8">
        <w:rPr>
          <w:i/>
          <w:lang w:val="en-US"/>
        </w:rPr>
        <w:t>Postpone</w:t>
      </w:r>
    </w:p>
    <w:p w14:paraId="4CE14DD5" w14:textId="3539DFCD" w:rsidR="00366AB7" w:rsidRDefault="00366AB7" w:rsidP="00CD4C7B"/>
    <w:p w14:paraId="52923C3D" w14:textId="05B78F07" w:rsidR="00366AB7" w:rsidRPr="006E13D1" w:rsidRDefault="00E4483B" w:rsidP="00CD4C7B">
      <w:r>
        <w:t>The problem with different size of grant provided in response to CFRA preamble after CBRA preamble transmission seems to be generally acknowledged but the solution to apply was to need further discussions – at least the data multiplexed into MAC PDU in the Msg3 buffer should not be lost. This paper discusses the solution options and proposes the option to limit preamble group selection by the UE in the CBRA fallback scenario.</w:t>
      </w:r>
    </w:p>
    <w:p w14:paraId="127ACA6D" w14:textId="27C01B83" w:rsidR="00CD4C7B" w:rsidRPr="006E13D1" w:rsidRDefault="00CD4C7B" w:rsidP="00CD4C7B">
      <w:pPr>
        <w:pStyle w:val="Heading1"/>
      </w:pPr>
      <w:r w:rsidRPr="006E13D1">
        <w:lastRenderedPageBreak/>
        <w:t>2</w:t>
      </w:r>
      <w:r w:rsidRPr="006E13D1">
        <w:tab/>
      </w:r>
      <w:r w:rsidR="00E4483B">
        <w:t>Solution options</w:t>
      </w:r>
    </w:p>
    <w:p w14:paraId="38FF5469" w14:textId="0F7548AE" w:rsidR="00121C6C" w:rsidRPr="00121C6C" w:rsidRDefault="00815F22" w:rsidP="00121C6C">
      <w:r>
        <w:t xml:space="preserve">In </w:t>
      </w:r>
      <w:hyperlink r:id="rId15" w:tooltip="D:Documents3GPPtsg_ranWG2RAN2DocsR2-1806919.zip" w:history="1">
        <w:r w:rsidRPr="00815F22">
          <w:rPr>
            <w:rStyle w:val="Hyperlink"/>
          </w:rPr>
          <w:t>R2-1806919</w:t>
        </w:r>
      </w:hyperlink>
      <w:r>
        <w:t>, it was proposed to disallow usage of CFRA after the first attempt with CBRA preamble during a RA procedure. Such an approach seems quite radical and would lead to wastage of allocated CFRA resources completely, e.g., in case a beam with only CBRA possibility is selected first in the RA procedure.</w:t>
      </w:r>
      <w:r w:rsidR="00E4483B">
        <w:t xml:space="preserve"> This could be probable, e.g., in the handover scenario where the UE operates at the cell edge and the RSRP threshold to use CFRA resource might not be satisfied.</w:t>
      </w:r>
    </w:p>
    <w:p w14:paraId="642BE24E" w14:textId="485F5BB9" w:rsidR="00121C6C" w:rsidRPr="00F602A1" w:rsidRDefault="00E4483B" w:rsidP="00CD4C7B">
      <w:pPr>
        <w:rPr>
          <w:b/>
        </w:rPr>
      </w:pPr>
      <w:r>
        <w:rPr>
          <w:b/>
        </w:rPr>
        <w:t>Observation 1</w:t>
      </w:r>
      <w:r w:rsidR="00F602A1">
        <w:rPr>
          <w:b/>
        </w:rPr>
        <w:t>: Disallowing the usage of CFRA after the first attempt with CBRA would lead to wastage of allocated CFRA resources.</w:t>
      </w:r>
    </w:p>
    <w:p w14:paraId="627A6604" w14:textId="67D16FAB" w:rsidR="00E4483B" w:rsidRDefault="00E4483B" w:rsidP="00CD4C7B">
      <w:r>
        <w:t xml:space="preserve">In </w:t>
      </w:r>
      <w:hyperlink r:id="rId16" w:history="1">
        <w:r w:rsidRPr="008D4C5C">
          <w:rPr>
            <w:rStyle w:val="Hyperlink"/>
          </w:rPr>
          <w:t>R2-1810084</w:t>
        </w:r>
      </w:hyperlink>
      <w:r>
        <w:t xml:space="preserve">, it </w:t>
      </w:r>
      <w:r w:rsidR="008D4C5C">
        <w:t xml:space="preserve">is proposed to rebuild the MAC PDU always in case the UL grant size received in response to CFRA differs from the MAC PDU size in Msg3 buffer. This option assumes that the grant in response to CFRA preamble would always be bigger (or at least as big) than the CBRA grant. Such assumption is problematic as it mandates </w:t>
      </w:r>
      <w:r w:rsidR="00D7119C">
        <w:t xml:space="preserve">always </w:t>
      </w:r>
      <w:r w:rsidR="008D4C5C">
        <w:t>the usage of grant size no smaller than 72 bits in response to CFRA preamble as NW does not know if the UE used preamble group A or B for CBRA (or whether it used CBRA at all yet). This will unnecessarily compromise the achievable cell coverage when applying CFRA and would lead to worse handover performance.</w:t>
      </w:r>
    </w:p>
    <w:p w14:paraId="2BEB79CD" w14:textId="7BB5911D" w:rsidR="008D4C5C" w:rsidRDefault="00545757" w:rsidP="00CD4C7B">
      <w:r>
        <w:t xml:space="preserve">Furthermore, it does not seem to be obvious how the rebuilding is done by the UE as the LCP should be performed again and some information that was previously multiplexed into the MAC PDU might not be able to be done anymore or some other information should be prioritized. As an example, the grant size received for CBRA might not be able to multiplex Long BSR but data from DCCH was multiplexed; when the CFRA grant is received and it is bigger in size, the Long BSR could fit and should be reported but what to do for the data from DCCH as RLC already assumes it was transmitted? </w:t>
      </w:r>
      <w:r w:rsidR="00573D5C">
        <w:t>It seems the option to rebuild MAC PDU would require big efforts to be standardized completely.</w:t>
      </w:r>
    </w:p>
    <w:p w14:paraId="38E1FB7F" w14:textId="33AD4EDF" w:rsidR="00E4483B" w:rsidRPr="00545757" w:rsidRDefault="00545757" w:rsidP="00CD4C7B">
      <w:pPr>
        <w:rPr>
          <w:b/>
        </w:rPr>
      </w:pPr>
      <w:r>
        <w:rPr>
          <w:b/>
        </w:rPr>
        <w:t>Observation 2:</w:t>
      </w:r>
      <w:r w:rsidR="00573D5C">
        <w:rPr>
          <w:b/>
        </w:rPr>
        <w:t xml:space="preserve"> The solution to rebuild MAC PDU would require big efforts to be standardized completely.</w:t>
      </w:r>
    </w:p>
    <w:p w14:paraId="3716C049" w14:textId="77777777" w:rsidR="00BF4C66" w:rsidRDefault="00F602A1" w:rsidP="00CD4C7B">
      <w:r>
        <w:t xml:space="preserve">It seems more straightforward to limit the usage of preamble group for CBRA attempt to group A in case the RA procedure involves the possibility of using also CFRA resources. By means of this, the NW can always provide the same size of grant in response to CFRA preamble transmission </w:t>
      </w:r>
      <w:r w:rsidR="000E5A9B">
        <w:t>with Msg3 grant in response to CBRA preamble transmission.</w:t>
      </w:r>
      <w:r>
        <w:t xml:space="preserve"> </w:t>
      </w:r>
    </w:p>
    <w:p w14:paraId="44322837" w14:textId="34DA372D" w:rsidR="00121C6C" w:rsidRDefault="00582D90" w:rsidP="00CD4C7B">
      <w:r>
        <w:t>Alternatively</w:t>
      </w:r>
      <w:r w:rsidR="0039351C">
        <w:t>, if u</w:t>
      </w:r>
      <w:r w:rsidR="00F602A1">
        <w:t xml:space="preserve">sing always group A </w:t>
      </w:r>
      <w:r w:rsidR="0039351C">
        <w:t>is considered too restrictive</w:t>
      </w:r>
      <w:r w:rsidR="000E5A9B">
        <w:t>, more NW flexibilit</w:t>
      </w:r>
      <w:r w:rsidR="0039351C">
        <w:t>y could be enabled by being able to configure which group to use by the UE</w:t>
      </w:r>
      <w:r w:rsidR="00BF4C66">
        <w:t>, e.g., in the configuration where the CFRA preambles are provided. T</w:t>
      </w:r>
      <w:r w:rsidR="00573D5C">
        <w:t>his would allow NW to use of same size grant as used for the preamble group B preambles.</w:t>
      </w:r>
    </w:p>
    <w:p w14:paraId="18F9F2CC" w14:textId="26B2E2FF" w:rsidR="000E5A9B" w:rsidRDefault="000E5A9B" w:rsidP="00CD4C7B">
      <w:pPr>
        <w:rPr>
          <w:b/>
        </w:rPr>
      </w:pPr>
      <w:r>
        <w:rPr>
          <w:b/>
        </w:rPr>
        <w:t xml:space="preserve">Proposal: For RA procedure </w:t>
      </w:r>
      <w:r w:rsidR="0039351C">
        <w:rPr>
          <w:b/>
        </w:rPr>
        <w:t>provided</w:t>
      </w:r>
      <w:r>
        <w:rPr>
          <w:b/>
        </w:rPr>
        <w:t xml:space="preserve"> with CFRA resources, in case of CBRA preamble transmission the UE shall apply preambles from </w:t>
      </w:r>
      <w:r w:rsidR="0039351C">
        <w:rPr>
          <w:b/>
        </w:rPr>
        <w:t xml:space="preserve">preamble group </w:t>
      </w:r>
      <w:r>
        <w:rPr>
          <w:b/>
        </w:rPr>
        <w:t>A</w:t>
      </w:r>
      <w:r w:rsidR="00BF4C66">
        <w:rPr>
          <w:b/>
        </w:rPr>
        <w:t xml:space="preserve"> or alternatively from the preamble group NW configures</w:t>
      </w:r>
      <w:r>
        <w:rPr>
          <w:b/>
        </w:rPr>
        <w:t>.</w:t>
      </w:r>
    </w:p>
    <w:p w14:paraId="43A12B72" w14:textId="5E93E45C" w:rsidR="00CD4C7B" w:rsidRPr="006E13D1" w:rsidRDefault="000E5A9B" w:rsidP="00CD4C7B">
      <w:pPr>
        <w:pStyle w:val="Heading1"/>
      </w:pPr>
      <w:r>
        <w:t>3</w:t>
      </w:r>
      <w:r w:rsidR="00CD4C7B" w:rsidRPr="006E13D1">
        <w:tab/>
      </w:r>
      <w:r>
        <w:t>Conclusions</w:t>
      </w:r>
    </w:p>
    <w:p w14:paraId="190C81D1" w14:textId="363E99EC" w:rsidR="00CD4C7B" w:rsidRDefault="000E5A9B" w:rsidP="00CD4C7B">
      <w:r>
        <w:t>In this contribution</w:t>
      </w:r>
      <w:r w:rsidR="00573D5C">
        <w:t>, solutions for</w:t>
      </w:r>
      <w:r>
        <w:t xml:space="preserve"> the issue of switching from CBRA to CFRA during one RA procedure is discussed and it is observed </w:t>
      </w:r>
      <w:r w:rsidR="00573D5C">
        <w:t>that the solution to limit the preamble group selection by the UE in case of CBRA would be the simplest</w:t>
      </w:r>
      <w:r>
        <w:t>. The following proposal is made:</w:t>
      </w:r>
    </w:p>
    <w:p w14:paraId="4ADCDF7B" w14:textId="5DF1A9A5" w:rsidR="0039351C" w:rsidRDefault="0039351C" w:rsidP="0039351C">
      <w:pPr>
        <w:rPr>
          <w:b/>
        </w:rPr>
      </w:pPr>
      <w:r>
        <w:rPr>
          <w:b/>
        </w:rPr>
        <w:t>Proposal: For RA procedure provided with CFRA resources, in case of CBRA preamble transmission the UE shall apply preambles from preamble group A</w:t>
      </w:r>
      <w:r w:rsidR="00BF4C66">
        <w:rPr>
          <w:b/>
        </w:rPr>
        <w:t xml:space="preserve"> or alternatively from the preamble group NW configures</w:t>
      </w:r>
      <w:r>
        <w:rPr>
          <w:b/>
        </w:rPr>
        <w:t>.</w:t>
      </w:r>
    </w:p>
    <w:p w14:paraId="025CFC44" w14:textId="4371ED13" w:rsidR="0041571E" w:rsidRPr="0041571E" w:rsidRDefault="0041571E" w:rsidP="00CD4C7B">
      <w:r>
        <w:t>The corresponding CR</w:t>
      </w:r>
      <w:r w:rsidR="00BF4C66">
        <w:t xml:space="preserve"> about using always group A</w:t>
      </w:r>
      <w:r>
        <w:t xml:space="preserve"> is provided in [1]</w:t>
      </w:r>
      <w:r w:rsidR="00EB21EA">
        <w:t>.</w:t>
      </w:r>
    </w:p>
    <w:p w14:paraId="7735B04F" w14:textId="77777777" w:rsidR="0041571E" w:rsidRPr="0041571E" w:rsidRDefault="0041571E" w:rsidP="0041571E">
      <w:pPr>
        <w:pStyle w:val="Heading1"/>
      </w:pPr>
      <w:r w:rsidRPr="0041571E">
        <w:t>References</w:t>
      </w:r>
    </w:p>
    <w:p w14:paraId="61B9C793" w14:textId="486AE132" w:rsidR="0041571E" w:rsidRPr="006E13D1" w:rsidRDefault="0041571E" w:rsidP="0041571E">
      <w:pPr>
        <w:numPr>
          <w:ilvl w:val="0"/>
          <w:numId w:val="4"/>
        </w:numPr>
        <w:overflowPunct w:val="0"/>
        <w:autoSpaceDE w:val="0"/>
        <w:autoSpaceDN w:val="0"/>
        <w:adjustRightInd w:val="0"/>
        <w:textAlignment w:val="baseline"/>
      </w:pPr>
      <w:r>
        <w:t>R2-</w:t>
      </w:r>
      <w:r w:rsidR="00C45102">
        <w:t>1812110</w:t>
      </w:r>
      <w:bookmarkStart w:id="0" w:name="_GoBack"/>
      <w:bookmarkEnd w:id="0"/>
      <w:r w:rsidRPr="006E13D1">
        <w:t xml:space="preserve"> </w:t>
      </w:r>
      <w:r>
        <w:rPr>
          <w:i/>
          <w:iCs/>
        </w:rPr>
        <w:t xml:space="preserve">Correction to preamble group selection for CBRA </w:t>
      </w:r>
      <w:r>
        <w:t>– Nokia, Nokia Shanghai Bell</w:t>
      </w:r>
    </w:p>
    <w:p w14:paraId="64E9C4F4" w14:textId="77777777" w:rsidR="0041571E" w:rsidRPr="00BA58A3" w:rsidRDefault="0041571E" w:rsidP="00CD4C7B">
      <w:pPr>
        <w:rPr>
          <w:b/>
        </w:rPr>
      </w:pPr>
    </w:p>
    <w:sectPr w:rsidR="0041571E" w:rsidRPr="00BA58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E12BA" w14:textId="77777777" w:rsidR="0008400A" w:rsidRDefault="0008400A">
      <w:r>
        <w:separator/>
      </w:r>
    </w:p>
  </w:endnote>
  <w:endnote w:type="continuationSeparator" w:id="0">
    <w:p w14:paraId="753F9641" w14:textId="77777777" w:rsidR="0008400A" w:rsidRDefault="0008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D3680" w14:textId="77777777" w:rsidR="0008400A" w:rsidRDefault="0008400A">
      <w:r>
        <w:separator/>
      </w:r>
    </w:p>
  </w:footnote>
  <w:footnote w:type="continuationSeparator" w:id="0">
    <w:p w14:paraId="4EC8A57C" w14:textId="77777777" w:rsidR="0008400A" w:rsidRDefault="00084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0D027F"/>
    <w:multiLevelType w:val="hybridMultilevel"/>
    <w:tmpl w:val="607CECBC"/>
    <w:lvl w:ilvl="0" w:tplc="049641BA">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8904209"/>
    <w:multiLevelType w:val="hybridMultilevel"/>
    <w:tmpl w:val="A738A828"/>
    <w:lvl w:ilvl="0" w:tplc="C128BFE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70146DC0"/>
    <w:multiLevelType w:val="hybridMultilevel"/>
    <w:tmpl w:val="9BC21240"/>
    <w:lvl w:ilvl="0" w:tplc="6F0EF0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400A"/>
    <w:rsid w:val="00090468"/>
    <w:rsid w:val="000B7BCF"/>
    <w:rsid w:val="000C522B"/>
    <w:rsid w:val="000D58AB"/>
    <w:rsid w:val="000E5A9B"/>
    <w:rsid w:val="000F16D7"/>
    <w:rsid w:val="00112F1A"/>
    <w:rsid w:val="00121C6C"/>
    <w:rsid w:val="00145075"/>
    <w:rsid w:val="001741A0"/>
    <w:rsid w:val="00175FA0"/>
    <w:rsid w:val="00194CD0"/>
    <w:rsid w:val="001B49C9"/>
    <w:rsid w:val="001C4F79"/>
    <w:rsid w:val="001F168B"/>
    <w:rsid w:val="001F7831"/>
    <w:rsid w:val="00204045"/>
    <w:rsid w:val="0020712B"/>
    <w:rsid w:val="0022606D"/>
    <w:rsid w:val="00231728"/>
    <w:rsid w:val="0023749D"/>
    <w:rsid w:val="002610D8"/>
    <w:rsid w:val="002747EC"/>
    <w:rsid w:val="002855BF"/>
    <w:rsid w:val="002F0D22"/>
    <w:rsid w:val="00312CD3"/>
    <w:rsid w:val="003172DC"/>
    <w:rsid w:val="00325AE3"/>
    <w:rsid w:val="00326069"/>
    <w:rsid w:val="0035462D"/>
    <w:rsid w:val="00364B41"/>
    <w:rsid w:val="00366AB7"/>
    <w:rsid w:val="0039351C"/>
    <w:rsid w:val="003A41EF"/>
    <w:rsid w:val="003A71A8"/>
    <w:rsid w:val="003B40AD"/>
    <w:rsid w:val="003C4E37"/>
    <w:rsid w:val="003E16BE"/>
    <w:rsid w:val="003F4E28"/>
    <w:rsid w:val="004006E8"/>
    <w:rsid w:val="00401855"/>
    <w:rsid w:val="0041571E"/>
    <w:rsid w:val="00477455"/>
    <w:rsid w:val="004A1F7B"/>
    <w:rsid w:val="004C44D2"/>
    <w:rsid w:val="004D3578"/>
    <w:rsid w:val="004D380D"/>
    <w:rsid w:val="004E213A"/>
    <w:rsid w:val="00503171"/>
    <w:rsid w:val="00506C28"/>
    <w:rsid w:val="00534DA0"/>
    <w:rsid w:val="00543E6C"/>
    <w:rsid w:val="00545757"/>
    <w:rsid w:val="00565087"/>
    <w:rsid w:val="0056573F"/>
    <w:rsid w:val="00573D5C"/>
    <w:rsid w:val="00582D90"/>
    <w:rsid w:val="00611566"/>
    <w:rsid w:val="00646D99"/>
    <w:rsid w:val="00656910"/>
    <w:rsid w:val="006C66D8"/>
    <w:rsid w:val="006D1E24"/>
    <w:rsid w:val="006E1417"/>
    <w:rsid w:val="006F6A2C"/>
    <w:rsid w:val="00710201"/>
    <w:rsid w:val="00723AD7"/>
    <w:rsid w:val="007342B5"/>
    <w:rsid w:val="00734A5B"/>
    <w:rsid w:val="00744E76"/>
    <w:rsid w:val="00757D40"/>
    <w:rsid w:val="00781F0F"/>
    <w:rsid w:val="0078727C"/>
    <w:rsid w:val="0079049D"/>
    <w:rsid w:val="00793DC5"/>
    <w:rsid w:val="007B18D8"/>
    <w:rsid w:val="007C095F"/>
    <w:rsid w:val="008028A4"/>
    <w:rsid w:val="00813245"/>
    <w:rsid w:val="00815F22"/>
    <w:rsid w:val="008768CA"/>
    <w:rsid w:val="00877EF9"/>
    <w:rsid w:val="00880559"/>
    <w:rsid w:val="00894444"/>
    <w:rsid w:val="008B5306"/>
    <w:rsid w:val="008D2E4D"/>
    <w:rsid w:val="008D4C5C"/>
    <w:rsid w:val="0090271F"/>
    <w:rsid w:val="00902DB9"/>
    <w:rsid w:val="0090466A"/>
    <w:rsid w:val="00936071"/>
    <w:rsid w:val="00940212"/>
    <w:rsid w:val="00942EC2"/>
    <w:rsid w:val="009503C4"/>
    <w:rsid w:val="00961B32"/>
    <w:rsid w:val="00970DB3"/>
    <w:rsid w:val="009729F1"/>
    <w:rsid w:val="00974BB0"/>
    <w:rsid w:val="009A0AF3"/>
    <w:rsid w:val="009B07CD"/>
    <w:rsid w:val="009C19E9"/>
    <w:rsid w:val="009D74A6"/>
    <w:rsid w:val="00A10F02"/>
    <w:rsid w:val="00A204CA"/>
    <w:rsid w:val="00A53724"/>
    <w:rsid w:val="00A82346"/>
    <w:rsid w:val="00A875EA"/>
    <w:rsid w:val="00A9671C"/>
    <w:rsid w:val="00AA1553"/>
    <w:rsid w:val="00B05962"/>
    <w:rsid w:val="00B15449"/>
    <w:rsid w:val="00B27303"/>
    <w:rsid w:val="00B47FD1"/>
    <w:rsid w:val="00B516BB"/>
    <w:rsid w:val="00B56691"/>
    <w:rsid w:val="00BA58A3"/>
    <w:rsid w:val="00BC3555"/>
    <w:rsid w:val="00BF4C66"/>
    <w:rsid w:val="00C12B51"/>
    <w:rsid w:val="00C24650"/>
    <w:rsid w:val="00C33079"/>
    <w:rsid w:val="00C37AC3"/>
    <w:rsid w:val="00C45102"/>
    <w:rsid w:val="00C83A13"/>
    <w:rsid w:val="00C9068C"/>
    <w:rsid w:val="00C91FF0"/>
    <w:rsid w:val="00C92967"/>
    <w:rsid w:val="00CA3D0C"/>
    <w:rsid w:val="00CA654B"/>
    <w:rsid w:val="00CD462C"/>
    <w:rsid w:val="00CD4C7B"/>
    <w:rsid w:val="00D1708A"/>
    <w:rsid w:val="00D33BE3"/>
    <w:rsid w:val="00D3792D"/>
    <w:rsid w:val="00D55E47"/>
    <w:rsid w:val="00D62E19"/>
    <w:rsid w:val="00D67CD1"/>
    <w:rsid w:val="00D7119C"/>
    <w:rsid w:val="00D738D6"/>
    <w:rsid w:val="00D80795"/>
    <w:rsid w:val="00D854BE"/>
    <w:rsid w:val="00D87E00"/>
    <w:rsid w:val="00D9134D"/>
    <w:rsid w:val="00D96D11"/>
    <w:rsid w:val="00DA7A03"/>
    <w:rsid w:val="00DB0DB8"/>
    <w:rsid w:val="00DB1818"/>
    <w:rsid w:val="00DC309B"/>
    <w:rsid w:val="00DC4DA2"/>
    <w:rsid w:val="00E4483B"/>
    <w:rsid w:val="00E471CF"/>
    <w:rsid w:val="00E62835"/>
    <w:rsid w:val="00E77645"/>
    <w:rsid w:val="00E83697"/>
    <w:rsid w:val="00EB21EA"/>
    <w:rsid w:val="00EC4A25"/>
    <w:rsid w:val="00ED2751"/>
    <w:rsid w:val="00F025A2"/>
    <w:rsid w:val="00F07388"/>
    <w:rsid w:val="00F2026E"/>
    <w:rsid w:val="00F2210A"/>
    <w:rsid w:val="00F37743"/>
    <w:rsid w:val="00F54A3D"/>
    <w:rsid w:val="00F54CB0"/>
    <w:rsid w:val="00F602A1"/>
    <w:rsid w:val="00F653B8"/>
    <w:rsid w:val="00F71B89"/>
    <w:rsid w:val="00F7353C"/>
    <w:rsid w:val="00F76F8F"/>
    <w:rsid w:val="00FA1266"/>
    <w:rsid w:val="00FB1EA7"/>
    <w:rsid w:val="00FB36FA"/>
    <w:rsid w:val="00FC1192"/>
    <w:rsid w:val="00FE0BF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0F16D7"/>
    <w:rPr>
      <w:color w:val="808080"/>
      <w:shd w:val="clear" w:color="auto" w:fill="E6E6E6"/>
    </w:rPr>
  </w:style>
  <w:style w:type="table" w:styleId="TableGrid">
    <w:name w:val="Table Grid"/>
    <w:basedOn w:val="TableNormal"/>
    <w:rsid w:val="00972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3A71A8"/>
    <w:pPr>
      <w:overflowPunct w:val="0"/>
      <w:autoSpaceDE w:val="0"/>
      <w:autoSpaceDN w:val="0"/>
      <w:adjustRightInd w:val="0"/>
      <w:spacing w:before="60" w:after="0"/>
      <w:ind w:left="1259" w:hanging="1259"/>
      <w:textAlignment w:val="baseline"/>
    </w:pPr>
    <w:rPr>
      <w:rFonts w:ascii="Arial" w:hAnsi="Arial"/>
      <w:noProof/>
      <w:lang w:val="x-none" w:eastAsia="x-none"/>
    </w:rPr>
  </w:style>
  <w:style w:type="paragraph" w:customStyle="1" w:styleId="Doc-text2">
    <w:name w:val="Doc-text2"/>
    <w:basedOn w:val="Normal"/>
    <w:link w:val="Doc-text2Char"/>
    <w:qFormat/>
    <w:rsid w:val="003A71A8"/>
    <w:pPr>
      <w:tabs>
        <w:tab w:val="left" w:pos="1622"/>
      </w:tabs>
      <w:overflowPunct w:val="0"/>
      <w:autoSpaceDE w:val="0"/>
      <w:autoSpaceDN w:val="0"/>
      <w:adjustRightInd w:val="0"/>
      <w:spacing w:after="0"/>
      <w:ind w:left="1622" w:hanging="363"/>
      <w:textAlignment w:val="baseline"/>
    </w:pPr>
    <w:rPr>
      <w:rFonts w:ascii="Arial" w:hAnsi="Arial"/>
      <w:lang w:val="x-none" w:eastAsia="x-none"/>
    </w:rPr>
  </w:style>
  <w:style w:type="character" w:customStyle="1" w:styleId="Doc-text2Char">
    <w:name w:val="Doc-text2 Char"/>
    <w:link w:val="Doc-text2"/>
    <w:rsid w:val="003A71A8"/>
    <w:rPr>
      <w:rFonts w:ascii="Arial" w:hAnsi="Arial"/>
      <w:lang w:val="x-none" w:eastAsia="x-none"/>
    </w:rPr>
  </w:style>
  <w:style w:type="character" w:customStyle="1" w:styleId="Doc-titleChar">
    <w:name w:val="Doc-title Char"/>
    <w:link w:val="Doc-title"/>
    <w:rsid w:val="003A71A8"/>
    <w:rPr>
      <w:rFonts w:ascii="Arial" w:hAnsi="Arial"/>
      <w:noProof/>
      <w:lang w:val="x-none" w:eastAsia="x-none"/>
    </w:rPr>
  </w:style>
  <w:style w:type="paragraph" w:customStyle="1" w:styleId="Comments">
    <w:name w:val="Comments"/>
    <w:basedOn w:val="Normal"/>
    <w:link w:val="CommentsChar"/>
    <w:qFormat/>
    <w:rsid w:val="003A71A8"/>
    <w:pPr>
      <w:overflowPunct w:val="0"/>
      <w:autoSpaceDE w:val="0"/>
      <w:autoSpaceDN w:val="0"/>
      <w:adjustRightInd w:val="0"/>
      <w:spacing w:before="40" w:after="0"/>
      <w:textAlignment w:val="baseline"/>
    </w:pPr>
    <w:rPr>
      <w:rFonts w:ascii="Arial" w:hAnsi="Arial"/>
      <w:i/>
      <w:noProof/>
      <w:sz w:val="18"/>
      <w:lang w:val="x-none" w:eastAsia="x-none"/>
    </w:rPr>
  </w:style>
  <w:style w:type="character" w:customStyle="1" w:styleId="CommentsChar">
    <w:name w:val="Comments Char"/>
    <w:link w:val="Comments"/>
    <w:rsid w:val="003A71A8"/>
    <w:rPr>
      <w:rFonts w:ascii="Arial" w:hAnsi="Arial"/>
      <w:i/>
      <w:noProof/>
      <w:sz w:val="18"/>
      <w:lang w:val="x-none" w:eastAsia="x-none"/>
    </w:rPr>
  </w:style>
  <w:style w:type="paragraph" w:customStyle="1" w:styleId="Agreement">
    <w:name w:val="Agreement"/>
    <w:basedOn w:val="Normal"/>
    <w:next w:val="Doc-text2"/>
    <w:qFormat/>
    <w:rsid w:val="003A71A8"/>
    <w:pPr>
      <w:numPr>
        <w:numId w:val="6"/>
      </w:numPr>
      <w:overflowPunct w:val="0"/>
      <w:autoSpaceDE w:val="0"/>
      <w:autoSpaceDN w:val="0"/>
      <w:adjustRightInd w:val="0"/>
      <w:spacing w:before="60"/>
      <w:textAlignment w:val="baseline"/>
    </w:pPr>
    <w:rPr>
      <w:rFonts w:ascii="Arial" w:hAnsi="Arial"/>
      <w:b/>
      <w:lang w:eastAsia="ja-JP"/>
    </w:rPr>
  </w:style>
  <w:style w:type="character" w:styleId="FollowedHyperlink">
    <w:name w:val="FollowedHyperlink"/>
    <w:basedOn w:val="DefaultParagraphFont"/>
    <w:rsid w:val="003A71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AHs/2018_07_NR/Docs/R2-181015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AHs/2018_07_NR/Docs/R2-181015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02/Docs/R2-181008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2/Docs/R2-1806919.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AHs/2018_07_NR/Docs/R2-18100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7D4DE-1C32-4719-B816-6FC9B2EA81A3}">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4.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5.xml><?xml version="1.0" encoding="utf-8"?>
<ds:datastoreItem xmlns:ds="http://schemas.openxmlformats.org/officeDocument/2006/customXml" ds:itemID="{025C6DCD-70DA-41F8-A095-4E7C5EC1EA8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Nokia</cp:lastModifiedBy>
  <cp:revision>2</cp:revision>
  <dcterms:created xsi:type="dcterms:W3CDTF">2018-08-09T11:34:00Z</dcterms:created>
  <dcterms:modified xsi:type="dcterms:W3CDTF">2018-08-09T11:34:00Z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